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12 133 vom 14. August 2012</w:t>
      </w:r>
    </w:p>
    <w:p>
      <w:r>
        <w:t>VS Kantonsgericht, 2012-08-14, FR</w:t>
      </w:r>
    </w:p>
    <w:p>
      <w:r>
        <w:rPr>
          <w:b/>
        </w:rPr>
        <w:t xml:space="preserve">Quelle: </w:t>
      </w:r>
      <w:r>
        <w:t>https://mcp.opencaselaw.ch/entscheid/vs_gerichte_P3 12 133</w:t>
      </w:r>
    </w:p>
    <w:p>
      <w:r>
        <w:t>FR: VS_GERICHTE P3 12 133 du 14 août 2012</w:t>
      </w:r>
    </w:p>
    <w:p>
      <w:r>
        <w:t>IT: VS_GERICHTE P3 12 133 del 14 agosto 2012</w:t>
      </w:r>
    </w:p>
    <w:p>
      <w:pPr>
        <w:pStyle w:val="Heading2"/>
      </w:pPr>
      <w:r>
        <w:t>Regeste</w:t>
      </w:r>
    </w:p>
    <w:p>
      <w:r>
        <w:t>JUGCIV P3 12 133 ORDONNANCE DU 14 AOÛT 2012 Tribunal cantonal du Valais Chambre pénale Jacques Berthouzoz, juge unique ; Mireille Allegro, greffière en la cause pénale X___________, recourant contre l'ordonnance rendue le 25 juillet 2012 par le Tribunal de l'application des peines et mesures (refus de la libération conditionnelle ; art. 86 al. 1 et 2 CP)</w:t>
      </w:r>
    </w:p>
    <w:p>
      <w:pPr>
        <w:pStyle w:val="Heading2"/>
      </w:pPr>
      <w:r>
        <w:t>Erwägungen</w:t>
      </w:r>
    </w:p>
    <w:p>
      <w:r>
        <w:rPr>
          <w:b/>
        </w:rPr>
        <w:t>E. 1.1</w:t>
      </w:r>
    </w:p>
    <w:p>
      <w:r>
        <w:t>Un recours peut être formé devant un juge unique de la chambre pénale contre l’ordonnance du Tribunal de l’application des peines et mesures refusant la libération conditionnelle (art. 20 al. 3 LOJ et 13 al. 1 et 39 al. 2 let. b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w:t>
      </w:r>
    </w:p>
    <w:p>
      <w:r>
        <w:rPr>
          <w:b/>
        </w:rPr>
        <w:t>E. 1.2</w:t>
      </w:r>
    </w:p>
    <w:p>
      <w:r>
        <w:t>En l’espèce, X___________ a qualité pour recourir, dès lors qu’il a un intérêt juridiquement protégé à l’annulation de l’ordonnance refusant sa libération conditionnelle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CP), celle-ci n'aura pas plus d'effets bénéfiques sur le recourant que le fait de purger la totalité de sa peine. Par ailleurs, contrairement à ce que prétend le recourant, une libération anticipée n'assurerait pas mieux sa réinsertion sociale, étant précisé qu’aucune perspective professionnelle ne lui est assurée à l’heure actuelle et que les démarches entamées à ce stade, notamment auprès du CMS, pourront aisément être réitérées au terme de l’exécution de la peine. Au vu de ce qui précède, le recours doit être rejeté.</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L’autorité compétente examine d’office si le détenu peut être libéré conditionnellement. Elle demande un rapport à la direction de l’établissement. Le détenu doit être entendu (al. 2). Cette disposition renforce le principe selon lequel la libération conditionnelle est la règle et son refus l’exception. Elle n’exige plus qu’il soit à prévoir que le condamné se conduira bien en liberté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Les critères déterminants pour le diagnostic développés par la jurisprudence restent</w:t>
      </w:r>
    </w:p>
    <w:p>
      <w:r>
        <w:t>- 5 -</w:t>
      </w:r>
    </w:p>
    <w:p>
      <w:r>
        <w:t>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Par sa nature même, le pronostic ne saurait être tout à fait sûr. Force est de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arrêts). Il y a également lieu de rechercher si la libération conditionnelle, éventuellement assortie d’une assistance de probation et de règles de conduite, ne favoriserait pas mieux la resocialisation de l’auteur que l’exécution complète de la peine (ATF 124 IV 193 consid. 4d/aa/bb). Dans l’émission du pronostic, l’autorité compétente dispose d’un large pouvoir d’appréciation (ATF 133 IV 201 consid. 2.3).</w:t>
      </w:r>
    </w:p>
    <w:p>
      <w:r>
        <w:rPr>
          <w:b/>
        </w:rPr>
        <w:t>E. 2.2</w:t>
      </w:r>
    </w:p>
    <w:p>
      <w:r>
        <w:t>En l’occurrence, le recourant a subi les deux tiers de sa peine depuis le 3 août 2012. La première condition de la libération conditionnelle est donc réalisée. S’agissant de la deuxième condition, à savoir du comportement en détention, il n’en va pas de même. En effet, il appert que le recourant a fait l’objet de trois sanctions disciplinaires depuis son incarcération, l’une pour une bagarre avec un codétenu, l’autre en raison d’un contrôle positif aux opiacés et THC et enfin, la troisième, à la suite d’un refus de prise d’urine en vue d’un contrôle d’abstinence aux stupéfiants. Son attitude ne saurait dès lors être qualifiée de bonne. Les établissements pénitentiaires avaient certes émis, dans un premier temps, un avis favorable en juin 2012. L’une des conditions proposées était toutefois que le détenu ait un comportement irréprochable jusqu’à sa libération. Or, le 9 juillet 2012, à la suite d’un congé, l’intéressé a refusé, en violation de ses devoirs, de se soumettre à une prise d’urine, rendant impossible l’attestation de l’abstinence. A cet égard, son explication selon laquelle il n’aurait tout simplement pas réussi à uriner dans un délai de 3 heures n’est nullement convaincante. En effet, selon la décision du 10 juillet 2012 prononçant la sanction disciplinaire, l’infirmière de service a attesté que le détenu était apte à exécuter la sanction (recte : le contrôle). Celui-ci ne le conteste pas et ne prétend pas avoir souffert d’un déficit physique particulier (rétention urinaire, anurie et autres troubles urinaires), lequel aurait été médicalement attestable. Le comportement du recourant représente ici une rupture du lien de confiance sur lequel repose une libération conditionnelle. Ainsi, c’est à juste titre que le TAPEM l’a refusée. De surcroît, un pronostic défavorable doit être retenu. En effet, le risque de récidive en matière de consommation de stupéfiants est manifestement avéré, puisque le recourant n’a pas cessé d’enfreindre les règles de conduite qui lui étaient imposées à cet égard, avant et en cours de détention. Quant aux infractions contre le patrimoine, on peut effectivement craindre que l’intéressé s’y adonne à nouveau, compte tenu de sa situation financière précaire, afin notamment de pouvoir se procurer des substances illicites. Enfin, étant donné la violation répétée des règles de conduite par le recourant, il y a lieu de craindre que celui-ci ne s’astreigne pas davantage aux exigences requises en cas de libération conditionnelle. Même accompagnée de règles de conduite (art. 87 al.</w:t>
      </w:r>
    </w:p>
    <w:p>
      <w:r>
        <w:t>- 6 -</w:t>
      </w:r>
    </w:p>
    <w:p>
      <w:r>
        <w:rPr>
          <w:b/>
        </w:rPr>
        <w:t>E. 3</w:t>
      </w:r>
    </w:p>
    <w:p>
      <w:r>
        <w:t>Comme X___________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relative de l’affaire et de la situation du recourant, il est arrêté forfaitairement à 300 fr. (art. 424 al. 2 CPP et 11 LTar).</w:t>
      </w:r>
    </w:p>
    <w:p>
      <w:r>
        <w:t>Prononce</w:t>
      </w:r>
    </w:p>
    <w:p>
      <w:r>
        <w:t>1. Le recours est rejeté. 2. Les frais de la procédure de recours, par 300 francs, sont mis à la charge de X___________.</w:t>
      </w:r>
    </w:p>
    <w:p>
      <w:r>
        <w:t>Sion, le 14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